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63"/>
        <w:rPr>
          <w:rFonts w:ascii="Times New Roman"/>
          <w:sz w:val="20"/>
        </w:rPr>
      </w:pPr>
      <w:r>
        <w:rPr>
          <w:rFonts w:ascii="Times New Roman"/>
          <w:sz w:val="20"/>
        </w:rPr>
        <w:drawing>
          <wp:inline distT="0" distB="0" distL="0" distR="0">
            <wp:extent cx="1247941" cy="32385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247941" cy="323850"/>
                    </a:xfrm>
                    <a:prstGeom prst="rect">
                      <a:avLst/>
                    </a:prstGeom>
                  </pic:spPr>
                </pic:pic>
              </a:graphicData>
            </a:graphic>
          </wp:inline>
        </w:drawing>
      </w:r>
      <w:r>
        <w:rPr>
          <w:rFonts w:ascii="Times New Roman"/>
          <w:sz w:val="20"/>
        </w:rPr>
      </w:r>
    </w:p>
    <w:p>
      <w:pPr>
        <w:pStyle w:val="Heading1"/>
        <w:spacing w:before="134"/>
        <w:ind w:left="3576"/>
      </w:pPr>
      <w:r>
        <w:rPr/>
        <w:t>PRICING ADDENDUM</w:t>
      </w:r>
    </w:p>
    <w:p>
      <w:pPr>
        <w:spacing w:before="0"/>
        <w:ind w:left="3574" w:right="3591" w:firstLine="0"/>
        <w:jc w:val="center"/>
        <w:rPr>
          <w:b/>
          <w:sz w:val="15"/>
        </w:rPr>
      </w:pPr>
      <w:r>
        <w:rPr>
          <w:b/>
          <w:sz w:val="15"/>
        </w:rPr>
        <w:t>to</w:t>
      </w:r>
    </w:p>
    <w:p>
      <w:pPr>
        <w:pStyle w:val="BodyText"/>
        <w:spacing w:before="3"/>
        <w:ind w:left="3576" w:right="3591"/>
        <w:jc w:val="center"/>
      </w:pPr>
      <w:r>
        <w:rPr/>
        <w:pict>
          <v:rect style="position:absolute;margin-left:256.730011pt;margin-top:17.380898pt;width:214.37pt;height:8.784pt;mso-position-horizontal-relative:page;mso-position-vertical-relative:paragraph;z-index:-252056576" filled="true" fillcolor="#d9d9d9" stroked="false">
            <v:fill type="solid"/>
            <w10:wrap type="none"/>
          </v:rect>
        </w:pict>
      </w:r>
      <w:r>
        <w:rPr/>
        <w:t>Master Services Agreement – MSA Lite (the “Agreement”) in effect between</w:t>
      </w:r>
    </w:p>
    <w:p>
      <w:pPr>
        <w:pStyle w:val="BodyText"/>
        <w:tabs>
          <w:tab w:pos="7518" w:val="left" w:leader="none"/>
        </w:tabs>
        <w:spacing w:before="1"/>
        <w:ind w:right="13"/>
        <w:jc w:val="center"/>
      </w:pPr>
      <w:r>
        <w:rPr/>
        <w:t>Trans Union of Canada, Inc. (“TransUnion”) and [Insert</w:t>
      </w:r>
      <w:r>
        <w:rPr>
          <w:spacing w:val="-18"/>
        </w:rPr>
        <w:t> </w:t>
      </w:r>
      <w:r>
        <w:rPr/>
        <w:t>Subscriber</w:t>
      </w:r>
      <w:r>
        <w:rPr>
          <w:spacing w:val="-2"/>
        </w:rPr>
        <w:t> </w:t>
      </w:r>
      <w:r>
        <w:rPr/>
        <w:t>Name</w:t>
      </w:r>
      <w:r>
        <w:rPr>
          <w:u w:val="single"/>
        </w:rPr>
        <w:t> </w:t>
        <w:tab/>
      </w:r>
      <w:r>
        <w:rPr/>
        <w:t>] (“Subscriber”)</w:t>
      </w:r>
    </w:p>
    <w:p>
      <w:pPr>
        <w:pStyle w:val="BodyText"/>
        <w:spacing w:before="9"/>
        <w:rPr>
          <w:sz w:val="14"/>
        </w:rPr>
      </w:pPr>
    </w:p>
    <w:p>
      <w:pPr>
        <w:pStyle w:val="ListParagraph"/>
        <w:numPr>
          <w:ilvl w:val="0"/>
          <w:numId w:val="1"/>
        </w:numPr>
        <w:tabs>
          <w:tab w:pos="459" w:val="left" w:leader="none"/>
          <w:tab w:pos="460" w:val="left" w:leader="none"/>
        </w:tabs>
        <w:spacing w:line="240" w:lineRule="auto" w:before="1" w:after="0"/>
        <w:ind w:left="460" w:right="0" w:hanging="360"/>
        <w:jc w:val="left"/>
        <w:rPr>
          <w:sz w:val="15"/>
        </w:rPr>
      </w:pPr>
      <w:r>
        <w:rPr>
          <w:sz w:val="15"/>
        </w:rPr>
        <w:t>This pricing will be effective on the following date: </w:t>
      </w:r>
      <w:r>
        <w:rPr>
          <w:sz w:val="15"/>
          <w:shd w:fill="D9D9D9" w:color="auto" w:val="clear"/>
        </w:rPr>
        <w:t>[insert</w:t>
      </w:r>
      <w:r>
        <w:rPr>
          <w:sz w:val="15"/>
          <w:shd w:fill="FFFFFF" w:color="auto" w:val="clear"/>
        </w:rPr>
        <w:t> </w:t>
      </w:r>
      <w:r>
        <w:rPr>
          <w:sz w:val="15"/>
          <w:shd w:fill="D9D9D9" w:color="auto" w:val="clear"/>
        </w:rPr>
        <w:t>effective</w:t>
      </w:r>
      <w:r>
        <w:rPr>
          <w:spacing w:val="-6"/>
          <w:sz w:val="15"/>
          <w:shd w:fill="FFFFFF" w:color="auto" w:val="clear"/>
        </w:rPr>
        <w:t> </w:t>
      </w:r>
      <w:r>
        <w:rPr>
          <w:sz w:val="15"/>
          <w:shd w:fill="D9D9D9" w:color="auto" w:val="clear"/>
        </w:rPr>
        <w:t>date]</w:t>
      </w:r>
    </w:p>
    <w:p>
      <w:pPr>
        <w:pStyle w:val="BodyText"/>
        <w:rPr>
          <w:sz w:val="16"/>
        </w:rPr>
      </w:pPr>
    </w:p>
    <w:p>
      <w:pPr>
        <w:pStyle w:val="BodyText"/>
        <w:rPr>
          <w:sz w:val="14"/>
        </w:rPr>
      </w:pPr>
    </w:p>
    <w:p>
      <w:pPr>
        <w:pStyle w:val="BodyText"/>
        <w:spacing w:before="1"/>
        <w:ind w:left="143"/>
      </w:pPr>
      <w:r>
        <w:rPr/>
        <w:t>Subject to the terms and conditions of the Agreement, the following is the pricing for the Services:*</w:t>
      </w:r>
    </w:p>
    <w:p>
      <w:pPr>
        <w:pStyle w:val="BodyText"/>
        <w:rPr>
          <w:sz w:val="20"/>
        </w:rPr>
      </w:pPr>
    </w:p>
    <w:p>
      <w:pPr>
        <w:pStyle w:val="BodyText"/>
        <w:spacing w:before="2"/>
        <w:rPr>
          <w:sz w:val="25"/>
        </w:rPr>
      </w:pPr>
    </w:p>
    <w:tbl>
      <w:tblPr>
        <w:tblW w:w="0" w:type="auto"/>
        <w:jc w:val="left"/>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6"/>
        <w:gridCol w:w="3298"/>
        <w:gridCol w:w="3305"/>
      </w:tblGrid>
      <w:tr>
        <w:trPr>
          <w:trHeight w:val="172" w:hRule="atLeast"/>
        </w:trPr>
        <w:tc>
          <w:tcPr>
            <w:tcW w:w="3666" w:type="dxa"/>
          </w:tcPr>
          <w:p>
            <w:pPr>
              <w:pStyle w:val="TableParagraph"/>
              <w:spacing w:line="152" w:lineRule="exact"/>
              <w:ind w:left="1545" w:right="1536"/>
              <w:jc w:val="center"/>
              <w:rPr>
                <w:b/>
                <w:sz w:val="15"/>
              </w:rPr>
            </w:pPr>
            <w:r>
              <w:rPr>
                <w:b/>
                <w:sz w:val="15"/>
              </w:rPr>
              <w:t>Service</w:t>
            </w:r>
          </w:p>
        </w:tc>
        <w:tc>
          <w:tcPr>
            <w:tcW w:w="3298" w:type="dxa"/>
          </w:tcPr>
          <w:p>
            <w:pPr>
              <w:pStyle w:val="TableParagraph"/>
              <w:spacing w:line="152" w:lineRule="exact"/>
              <w:ind w:left="1190" w:right="1182"/>
              <w:jc w:val="center"/>
              <w:rPr>
                <w:b/>
                <w:sz w:val="15"/>
              </w:rPr>
            </w:pPr>
            <w:r>
              <w:rPr>
                <w:b/>
                <w:sz w:val="15"/>
              </w:rPr>
              <w:t>Online Price</w:t>
            </w:r>
          </w:p>
        </w:tc>
        <w:tc>
          <w:tcPr>
            <w:tcW w:w="3305" w:type="dxa"/>
          </w:tcPr>
          <w:p>
            <w:pPr>
              <w:pStyle w:val="TableParagraph"/>
              <w:spacing w:line="152" w:lineRule="exact"/>
              <w:ind w:left="1161" w:right="1153"/>
              <w:jc w:val="center"/>
              <w:rPr>
                <w:b/>
                <w:sz w:val="10"/>
              </w:rPr>
            </w:pPr>
            <w:r>
              <w:rPr>
                <w:b/>
                <w:sz w:val="15"/>
              </w:rPr>
              <w:t>Offline Price</w:t>
            </w:r>
            <w:r>
              <w:rPr>
                <w:b/>
                <w:position w:val="5"/>
                <w:sz w:val="10"/>
              </w:rPr>
              <w:t>a</w:t>
            </w:r>
          </w:p>
        </w:tc>
      </w:tr>
      <w:tr>
        <w:trPr>
          <w:trHeight w:val="172" w:hRule="atLeast"/>
        </w:trPr>
        <w:tc>
          <w:tcPr>
            <w:tcW w:w="10269" w:type="dxa"/>
            <w:gridSpan w:val="3"/>
          </w:tcPr>
          <w:p>
            <w:pPr>
              <w:pStyle w:val="TableParagraph"/>
              <w:spacing w:line="152" w:lineRule="exact"/>
              <w:ind w:left="107"/>
              <w:rPr>
                <w:b/>
                <w:sz w:val="15"/>
              </w:rPr>
            </w:pPr>
            <w:r>
              <w:rPr>
                <w:b/>
                <w:sz w:val="15"/>
              </w:rPr>
              <w:t>Credit Reports</w:t>
            </w:r>
          </w:p>
        </w:tc>
      </w:tr>
      <w:tr>
        <w:trPr>
          <w:trHeight w:val="2587" w:hRule="atLeast"/>
        </w:trPr>
        <w:tc>
          <w:tcPr>
            <w:tcW w:w="3666" w:type="dxa"/>
          </w:tcPr>
          <w:p>
            <w:pPr>
              <w:pStyle w:val="TableParagraph"/>
              <w:spacing w:line="171" w:lineRule="exact"/>
              <w:ind w:left="107"/>
              <w:rPr>
                <w:sz w:val="15"/>
              </w:rPr>
            </w:pPr>
            <w:r>
              <w:rPr>
                <w:sz w:val="15"/>
              </w:rPr>
              <w:t>TransUnion Credit Report</w:t>
            </w:r>
          </w:p>
        </w:tc>
        <w:tc>
          <w:tcPr>
            <w:tcW w:w="3298" w:type="dxa"/>
          </w:tcPr>
          <w:p>
            <w:pPr>
              <w:pStyle w:val="TableParagraph"/>
              <w:spacing w:line="171" w:lineRule="exact"/>
              <w:ind w:left="107"/>
              <w:rPr>
                <w:sz w:val="15"/>
              </w:rPr>
            </w:pPr>
            <w:r>
              <w:rPr>
                <w:sz w:val="15"/>
              </w:rPr>
              <w:t>NEWTON PRICING</w:t>
            </w:r>
          </w:p>
          <w:p>
            <w:pPr>
              <w:pStyle w:val="TableParagraph"/>
              <w:ind w:left="107"/>
              <w:rPr>
                <w:sz w:val="15"/>
              </w:rPr>
            </w:pPr>
            <w:r>
              <w:rPr>
                <w:sz w:val="15"/>
              </w:rPr>
              <w:t>0-3 Months</w:t>
            </w:r>
          </w:p>
          <w:p>
            <w:pPr>
              <w:pStyle w:val="TableParagraph"/>
              <w:spacing w:line="171" w:lineRule="exact"/>
              <w:ind w:left="107"/>
              <w:rPr>
                <w:sz w:val="15"/>
              </w:rPr>
            </w:pPr>
            <w:r>
              <w:rPr>
                <w:sz w:val="15"/>
              </w:rPr>
              <w:t>$0.00 per hit</w:t>
            </w:r>
          </w:p>
          <w:p>
            <w:pPr>
              <w:pStyle w:val="TableParagraph"/>
              <w:spacing w:line="171" w:lineRule="exact"/>
              <w:ind w:left="107"/>
              <w:rPr>
                <w:sz w:val="15"/>
              </w:rPr>
            </w:pPr>
            <w:r>
              <w:rPr>
                <w:sz w:val="15"/>
              </w:rPr>
              <w:t>$0.00 per no hit</w:t>
            </w:r>
          </w:p>
          <w:p>
            <w:pPr>
              <w:pStyle w:val="TableParagraph"/>
              <w:spacing w:before="1"/>
              <w:ind w:left="107"/>
              <w:rPr>
                <w:sz w:val="15"/>
              </w:rPr>
            </w:pPr>
            <w:r>
              <w:rPr>
                <w:sz w:val="15"/>
              </w:rPr>
              <w:t>Newton Transaction Fee $0.00</w:t>
            </w:r>
          </w:p>
          <w:p>
            <w:pPr>
              <w:pStyle w:val="TableParagraph"/>
              <w:rPr>
                <w:sz w:val="15"/>
              </w:rPr>
            </w:pPr>
          </w:p>
          <w:p>
            <w:pPr>
              <w:pStyle w:val="TableParagraph"/>
              <w:ind w:left="107"/>
              <w:rPr>
                <w:sz w:val="15"/>
              </w:rPr>
            </w:pPr>
            <w:r>
              <w:rPr>
                <w:sz w:val="15"/>
              </w:rPr>
              <w:t>3-6 Months</w:t>
            </w:r>
          </w:p>
          <w:p>
            <w:pPr>
              <w:pStyle w:val="TableParagraph"/>
              <w:spacing w:before="1"/>
              <w:ind w:left="107"/>
              <w:rPr>
                <w:sz w:val="15"/>
              </w:rPr>
            </w:pPr>
            <w:r>
              <w:rPr>
                <w:sz w:val="15"/>
              </w:rPr>
              <w:t>$2.75 per hit</w:t>
            </w:r>
          </w:p>
          <w:p>
            <w:pPr>
              <w:pStyle w:val="TableParagraph"/>
              <w:spacing w:before="1"/>
              <w:ind w:left="107"/>
              <w:rPr>
                <w:sz w:val="15"/>
              </w:rPr>
            </w:pPr>
            <w:r>
              <w:rPr>
                <w:sz w:val="15"/>
              </w:rPr>
              <w:t>$0.00 per no hit</w:t>
            </w:r>
          </w:p>
          <w:p>
            <w:pPr>
              <w:pStyle w:val="TableParagraph"/>
              <w:ind w:left="107"/>
              <w:rPr>
                <w:sz w:val="15"/>
              </w:rPr>
            </w:pPr>
            <w:r>
              <w:rPr>
                <w:sz w:val="15"/>
              </w:rPr>
              <w:t>Newton Transaction Fee $0.50</w:t>
            </w:r>
          </w:p>
          <w:p>
            <w:pPr>
              <w:pStyle w:val="TableParagraph"/>
              <w:spacing w:before="9"/>
              <w:rPr>
                <w:sz w:val="14"/>
              </w:rPr>
            </w:pPr>
          </w:p>
          <w:p>
            <w:pPr>
              <w:pStyle w:val="TableParagraph"/>
              <w:spacing w:before="1"/>
              <w:ind w:left="107"/>
              <w:rPr>
                <w:sz w:val="15"/>
              </w:rPr>
            </w:pPr>
            <w:r>
              <w:rPr>
                <w:sz w:val="15"/>
              </w:rPr>
              <w:t>6 Months onward</w:t>
            </w:r>
          </w:p>
          <w:p>
            <w:pPr>
              <w:pStyle w:val="TableParagraph"/>
              <w:ind w:left="107"/>
              <w:rPr>
                <w:sz w:val="15"/>
              </w:rPr>
            </w:pPr>
            <w:r>
              <w:rPr>
                <w:sz w:val="15"/>
              </w:rPr>
              <w:t>$4.50 per hit (+$3.00 for co-applicants)</w:t>
            </w:r>
          </w:p>
          <w:p>
            <w:pPr>
              <w:pStyle w:val="TableParagraph"/>
              <w:ind w:left="107"/>
              <w:rPr>
                <w:sz w:val="15"/>
              </w:rPr>
            </w:pPr>
            <w:r>
              <w:rPr>
                <w:sz w:val="15"/>
              </w:rPr>
              <w:t>$0.00 per no hit</w:t>
            </w:r>
          </w:p>
          <w:p>
            <w:pPr>
              <w:pStyle w:val="TableParagraph"/>
              <w:spacing w:line="154" w:lineRule="exact"/>
              <w:ind w:left="107"/>
              <w:rPr>
                <w:sz w:val="15"/>
              </w:rPr>
            </w:pPr>
            <w:r>
              <w:rPr>
                <w:sz w:val="15"/>
              </w:rPr>
              <w:t>Newton Transaction Fee $2.50</w:t>
            </w:r>
          </w:p>
        </w:tc>
        <w:tc>
          <w:tcPr>
            <w:tcW w:w="3305" w:type="dxa"/>
          </w:tcPr>
          <w:p>
            <w:pPr>
              <w:pStyle w:val="TableParagraph"/>
              <w:rPr>
                <w:rFonts w:ascii="Times New Roman"/>
                <w:sz w:val="14"/>
              </w:rPr>
            </w:pPr>
          </w:p>
        </w:tc>
      </w:tr>
      <w:tr>
        <w:trPr>
          <w:trHeight w:val="172" w:hRule="atLeast"/>
        </w:trPr>
        <w:tc>
          <w:tcPr>
            <w:tcW w:w="3666" w:type="dxa"/>
          </w:tcPr>
          <w:p>
            <w:pPr>
              <w:pStyle w:val="TableParagraph"/>
              <w:spacing w:line="152" w:lineRule="exact"/>
              <w:ind w:left="107"/>
              <w:rPr>
                <w:sz w:val="15"/>
              </w:rPr>
            </w:pPr>
            <w:r>
              <w:rPr>
                <w:sz w:val="15"/>
              </w:rPr>
              <w:t>Credit Report Characteristics</w:t>
            </w: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172" w:hRule="atLeast"/>
        </w:trPr>
        <w:tc>
          <w:tcPr>
            <w:tcW w:w="3666" w:type="dxa"/>
          </w:tcPr>
          <w:p>
            <w:pPr>
              <w:pStyle w:val="TableParagraph"/>
              <w:spacing w:line="152" w:lineRule="exact"/>
              <w:ind w:left="107"/>
              <w:rPr>
                <w:sz w:val="15"/>
              </w:rPr>
            </w:pPr>
            <w:r>
              <w:rPr>
                <w:sz w:val="15"/>
              </w:rPr>
              <w:t>Model Report</w:t>
            </w: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172" w:hRule="atLeast"/>
        </w:trPr>
        <w:tc>
          <w:tcPr>
            <w:tcW w:w="3666" w:type="dxa"/>
          </w:tcPr>
          <w:p>
            <w:pPr>
              <w:pStyle w:val="TableParagraph"/>
              <w:spacing w:line="152" w:lineRule="exact"/>
              <w:ind w:left="107"/>
              <w:rPr>
                <w:sz w:val="15"/>
              </w:rPr>
            </w:pPr>
            <w:r>
              <w:rPr>
                <w:sz w:val="15"/>
              </w:rPr>
              <w:t>CreditVision Algorithms</w:t>
            </w: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172" w:hRule="atLeast"/>
        </w:trPr>
        <w:tc>
          <w:tcPr>
            <w:tcW w:w="3666" w:type="dxa"/>
          </w:tcPr>
          <w:p>
            <w:pPr>
              <w:pStyle w:val="TableParagraph"/>
              <w:spacing w:line="152" w:lineRule="exact"/>
              <w:ind w:left="107"/>
              <w:rPr>
                <w:sz w:val="15"/>
              </w:rPr>
            </w:pPr>
            <w:r>
              <w:rPr>
                <w:sz w:val="15"/>
              </w:rPr>
              <w:t>TU Direct Monthly Fee</w:t>
            </w: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172" w:hRule="atLeast"/>
        </w:trPr>
        <w:tc>
          <w:tcPr>
            <w:tcW w:w="3666" w:type="dxa"/>
          </w:tcPr>
          <w:p>
            <w:pPr>
              <w:pStyle w:val="TableParagraph"/>
              <w:rPr>
                <w:rFonts w:ascii="Times New Roman"/>
                <w:sz w:val="10"/>
              </w:rPr>
            </w:pP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172" w:hRule="atLeast"/>
        </w:trPr>
        <w:tc>
          <w:tcPr>
            <w:tcW w:w="10269" w:type="dxa"/>
            <w:gridSpan w:val="3"/>
          </w:tcPr>
          <w:p>
            <w:pPr>
              <w:pStyle w:val="TableParagraph"/>
              <w:spacing w:line="152" w:lineRule="exact"/>
              <w:ind w:left="107"/>
              <w:rPr>
                <w:b/>
                <w:sz w:val="15"/>
              </w:rPr>
            </w:pPr>
            <w:r>
              <w:rPr>
                <w:b/>
                <w:sz w:val="15"/>
              </w:rPr>
              <w:t>Fraud and Identity Management Services</w:t>
            </w:r>
          </w:p>
        </w:tc>
      </w:tr>
      <w:tr>
        <w:trPr>
          <w:trHeight w:val="172" w:hRule="atLeast"/>
        </w:trPr>
        <w:tc>
          <w:tcPr>
            <w:tcW w:w="3666" w:type="dxa"/>
          </w:tcPr>
          <w:p>
            <w:pPr>
              <w:pStyle w:val="TableParagraph"/>
              <w:spacing w:line="152" w:lineRule="exact"/>
              <w:ind w:left="107"/>
              <w:rPr>
                <w:sz w:val="15"/>
              </w:rPr>
            </w:pPr>
            <w:r>
              <w:rPr>
                <w:sz w:val="15"/>
              </w:rPr>
              <w:t>High Risk Fraud Alert</w:t>
            </w: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172" w:hRule="atLeast"/>
        </w:trPr>
        <w:tc>
          <w:tcPr>
            <w:tcW w:w="3666" w:type="dxa"/>
          </w:tcPr>
          <w:p>
            <w:pPr>
              <w:pStyle w:val="TableParagraph"/>
              <w:spacing w:line="152" w:lineRule="exact"/>
              <w:ind w:left="107"/>
              <w:rPr>
                <w:sz w:val="15"/>
              </w:rPr>
            </w:pPr>
            <w:r>
              <w:rPr>
                <w:sz w:val="15"/>
              </w:rPr>
              <w:t>Retroactive High Risk Fraud Alert</w:t>
            </w: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172" w:hRule="atLeast"/>
        </w:trPr>
        <w:tc>
          <w:tcPr>
            <w:tcW w:w="3666" w:type="dxa"/>
          </w:tcPr>
          <w:p>
            <w:pPr>
              <w:pStyle w:val="TableParagraph"/>
              <w:spacing w:line="152" w:lineRule="exact"/>
              <w:ind w:left="107"/>
              <w:rPr>
                <w:sz w:val="15"/>
              </w:rPr>
            </w:pPr>
            <w:r>
              <w:rPr>
                <w:sz w:val="15"/>
              </w:rPr>
              <w:t>Bureau Verification Services</w:t>
            </w: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172" w:hRule="atLeast"/>
        </w:trPr>
        <w:tc>
          <w:tcPr>
            <w:tcW w:w="3666" w:type="dxa"/>
          </w:tcPr>
          <w:p>
            <w:pPr>
              <w:pStyle w:val="TableParagraph"/>
              <w:spacing w:line="152" w:lineRule="exact"/>
              <w:ind w:left="107"/>
              <w:rPr>
                <w:sz w:val="15"/>
              </w:rPr>
            </w:pPr>
            <w:r>
              <w:rPr>
                <w:sz w:val="15"/>
              </w:rPr>
              <w:t>Address Verification Services</w:t>
            </w: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172" w:hRule="atLeast"/>
        </w:trPr>
        <w:tc>
          <w:tcPr>
            <w:tcW w:w="3666" w:type="dxa"/>
          </w:tcPr>
          <w:p>
            <w:pPr>
              <w:pStyle w:val="TableParagraph"/>
              <w:spacing w:line="152" w:lineRule="exact"/>
              <w:ind w:left="107"/>
              <w:rPr>
                <w:sz w:val="15"/>
              </w:rPr>
            </w:pPr>
            <w:r>
              <w:rPr>
                <w:sz w:val="15"/>
              </w:rPr>
              <w:t>ID Mismatch Alert</w:t>
            </w: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172" w:hRule="atLeast"/>
        </w:trPr>
        <w:tc>
          <w:tcPr>
            <w:tcW w:w="3666" w:type="dxa"/>
          </w:tcPr>
          <w:p>
            <w:pPr>
              <w:pStyle w:val="TableParagraph"/>
              <w:spacing w:line="152" w:lineRule="exact"/>
              <w:ind w:left="107"/>
              <w:rPr>
                <w:sz w:val="15"/>
              </w:rPr>
            </w:pPr>
            <w:r>
              <w:rPr>
                <w:sz w:val="15"/>
              </w:rPr>
              <w:t>Enhanced ID Mismatch Alert</w:t>
            </w: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172" w:hRule="atLeast"/>
        </w:trPr>
        <w:tc>
          <w:tcPr>
            <w:tcW w:w="3666" w:type="dxa"/>
          </w:tcPr>
          <w:p>
            <w:pPr>
              <w:pStyle w:val="TableParagraph"/>
              <w:spacing w:line="153" w:lineRule="exact"/>
              <w:ind w:left="107"/>
              <w:rPr>
                <w:sz w:val="15"/>
              </w:rPr>
            </w:pPr>
            <w:r>
              <w:rPr>
                <w:sz w:val="15"/>
              </w:rPr>
              <w:t>ID Report</w:t>
            </w: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172" w:hRule="atLeast"/>
        </w:trPr>
        <w:tc>
          <w:tcPr>
            <w:tcW w:w="3666" w:type="dxa"/>
          </w:tcPr>
          <w:p>
            <w:pPr>
              <w:pStyle w:val="TableParagraph"/>
              <w:spacing w:line="152" w:lineRule="exact"/>
              <w:ind w:left="107"/>
              <w:rPr>
                <w:sz w:val="15"/>
              </w:rPr>
            </w:pPr>
            <w:r>
              <w:rPr>
                <w:sz w:val="15"/>
              </w:rPr>
              <w:t>Directory Services</w:t>
            </w: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174" w:hRule="atLeast"/>
        </w:trPr>
        <w:tc>
          <w:tcPr>
            <w:tcW w:w="3666" w:type="dxa"/>
          </w:tcPr>
          <w:p>
            <w:pPr>
              <w:pStyle w:val="TableParagraph"/>
              <w:rPr>
                <w:rFonts w:ascii="Times New Roman"/>
                <w:sz w:val="10"/>
              </w:rPr>
            </w:pP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172" w:hRule="atLeast"/>
        </w:trPr>
        <w:tc>
          <w:tcPr>
            <w:tcW w:w="10269" w:type="dxa"/>
            <w:gridSpan w:val="3"/>
          </w:tcPr>
          <w:p>
            <w:pPr>
              <w:pStyle w:val="TableParagraph"/>
              <w:spacing w:line="152" w:lineRule="exact"/>
              <w:ind w:left="107"/>
              <w:rPr>
                <w:b/>
                <w:sz w:val="15"/>
              </w:rPr>
            </w:pPr>
            <w:r>
              <w:rPr>
                <w:b/>
                <w:sz w:val="15"/>
              </w:rPr>
              <w:t>TransUnion Scoring Products</w:t>
            </w:r>
          </w:p>
        </w:tc>
      </w:tr>
      <w:tr>
        <w:trPr>
          <w:trHeight w:val="172" w:hRule="atLeast"/>
        </w:trPr>
        <w:tc>
          <w:tcPr>
            <w:tcW w:w="3666" w:type="dxa"/>
          </w:tcPr>
          <w:p>
            <w:pPr>
              <w:pStyle w:val="TableParagraph"/>
              <w:spacing w:line="152" w:lineRule="exact"/>
              <w:ind w:left="107"/>
              <w:rPr>
                <w:sz w:val="15"/>
              </w:rPr>
            </w:pPr>
            <w:r>
              <w:rPr>
                <w:sz w:val="15"/>
              </w:rPr>
              <w:t>TransUnion Risk Score</w:t>
            </w: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172" w:hRule="atLeast"/>
        </w:trPr>
        <w:tc>
          <w:tcPr>
            <w:tcW w:w="3666" w:type="dxa"/>
          </w:tcPr>
          <w:p>
            <w:pPr>
              <w:pStyle w:val="TableParagraph"/>
              <w:spacing w:line="152" w:lineRule="exact"/>
              <w:ind w:left="107"/>
              <w:rPr>
                <w:sz w:val="15"/>
              </w:rPr>
            </w:pPr>
            <w:r>
              <w:rPr>
                <w:sz w:val="15"/>
              </w:rPr>
              <w:t>TransUnion Bankruptcy Score</w:t>
            </w: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2068" w:hRule="atLeast"/>
        </w:trPr>
        <w:tc>
          <w:tcPr>
            <w:tcW w:w="3666" w:type="dxa"/>
          </w:tcPr>
          <w:p>
            <w:pPr>
              <w:pStyle w:val="TableParagraph"/>
              <w:spacing w:line="171" w:lineRule="exact"/>
              <w:ind w:left="107"/>
              <w:rPr>
                <w:sz w:val="15"/>
              </w:rPr>
            </w:pPr>
            <w:r>
              <w:rPr>
                <w:sz w:val="15"/>
              </w:rPr>
              <w:t>TransUnion CreditVision Risk Score</w:t>
            </w:r>
          </w:p>
        </w:tc>
        <w:tc>
          <w:tcPr>
            <w:tcW w:w="3298" w:type="dxa"/>
          </w:tcPr>
          <w:p>
            <w:pPr>
              <w:pStyle w:val="TableParagraph"/>
              <w:spacing w:line="171" w:lineRule="exact"/>
              <w:ind w:left="107"/>
              <w:rPr>
                <w:sz w:val="15"/>
              </w:rPr>
            </w:pPr>
            <w:r>
              <w:rPr>
                <w:sz w:val="15"/>
              </w:rPr>
              <w:t>NEWTON PRICING</w:t>
            </w:r>
          </w:p>
          <w:p>
            <w:pPr>
              <w:pStyle w:val="TableParagraph"/>
              <w:spacing w:line="171" w:lineRule="exact"/>
              <w:ind w:left="107"/>
              <w:rPr>
                <w:sz w:val="15"/>
              </w:rPr>
            </w:pPr>
            <w:r>
              <w:rPr>
                <w:sz w:val="15"/>
              </w:rPr>
              <w:t>0-3 Months</w:t>
            </w:r>
          </w:p>
          <w:p>
            <w:pPr>
              <w:pStyle w:val="TableParagraph"/>
              <w:spacing w:line="171" w:lineRule="exact"/>
              <w:ind w:left="107"/>
              <w:rPr>
                <w:sz w:val="15"/>
              </w:rPr>
            </w:pPr>
            <w:r>
              <w:rPr>
                <w:sz w:val="15"/>
              </w:rPr>
              <w:t>$0.00 per hit</w:t>
            </w:r>
          </w:p>
          <w:p>
            <w:pPr>
              <w:pStyle w:val="TableParagraph"/>
              <w:ind w:left="107"/>
              <w:rPr>
                <w:sz w:val="15"/>
              </w:rPr>
            </w:pPr>
            <w:r>
              <w:rPr>
                <w:sz w:val="15"/>
              </w:rPr>
              <w:t>$0.00 per no hit</w:t>
            </w:r>
          </w:p>
          <w:p>
            <w:pPr>
              <w:pStyle w:val="TableParagraph"/>
              <w:spacing w:before="1"/>
              <w:rPr>
                <w:sz w:val="15"/>
              </w:rPr>
            </w:pPr>
          </w:p>
          <w:p>
            <w:pPr>
              <w:pStyle w:val="TableParagraph"/>
              <w:ind w:left="107"/>
              <w:rPr>
                <w:sz w:val="15"/>
              </w:rPr>
            </w:pPr>
            <w:r>
              <w:rPr>
                <w:sz w:val="15"/>
              </w:rPr>
              <w:t>3-6 Months</w:t>
            </w:r>
          </w:p>
          <w:p>
            <w:pPr>
              <w:pStyle w:val="TableParagraph"/>
              <w:ind w:left="107"/>
              <w:rPr>
                <w:sz w:val="15"/>
              </w:rPr>
            </w:pPr>
            <w:r>
              <w:rPr>
                <w:sz w:val="15"/>
              </w:rPr>
              <w:t>$0.75 per hit</w:t>
            </w:r>
          </w:p>
          <w:p>
            <w:pPr>
              <w:pStyle w:val="TableParagraph"/>
              <w:spacing w:before="1"/>
              <w:ind w:left="107"/>
              <w:rPr>
                <w:sz w:val="15"/>
              </w:rPr>
            </w:pPr>
            <w:r>
              <w:rPr>
                <w:sz w:val="15"/>
              </w:rPr>
              <w:t>$0.00 per no hit</w:t>
            </w:r>
          </w:p>
          <w:p>
            <w:pPr>
              <w:pStyle w:val="TableParagraph"/>
              <w:spacing w:before="9"/>
              <w:rPr>
                <w:sz w:val="14"/>
              </w:rPr>
            </w:pPr>
          </w:p>
          <w:p>
            <w:pPr>
              <w:pStyle w:val="TableParagraph"/>
              <w:ind w:left="107"/>
              <w:rPr>
                <w:sz w:val="15"/>
              </w:rPr>
            </w:pPr>
            <w:r>
              <w:rPr>
                <w:sz w:val="15"/>
              </w:rPr>
              <w:t>6 Months onward</w:t>
            </w:r>
          </w:p>
          <w:p>
            <w:pPr>
              <w:pStyle w:val="TableParagraph"/>
              <w:spacing w:before="1"/>
              <w:ind w:left="107"/>
              <w:rPr>
                <w:sz w:val="15"/>
              </w:rPr>
            </w:pPr>
            <w:r>
              <w:rPr>
                <w:sz w:val="15"/>
              </w:rPr>
              <w:t>$1.00 per hit</w:t>
            </w:r>
          </w:p>
          <w:p>
            <w:pPr>
              <w:pStyle w:val="TableParagraph"/>
              <w:spacing w:line="154" w:lineRule="exact"/>
              <w:ind w:left="107"/>
              <w:rPr>
                <w:sz w:val="15"/>
              </w:rPr>
            </w:pPr>
            <w:r>
              <w:rPr>
                <w:sz w:val="15"/>
              </w:rPr>
              <w:t>$0.00 per no hit</w:t>
            </w:r>
          </w:p>
        </w:tc>
        <w:tc>
          <w:tcPr>
            <w:tcW w:w="3305" w:type="dxa"/>
          </w:tcPr>
          <w:p>
            <w:pPr>
              <w:pStyle w:val="TableParagraph"/>
              <w:rPr>
                <w:rFonts w:ascii="Times New Roman"/>
                <w:sz w:val="14"/>
              </w:rPr>
            </w:pPr>
          </w:p>
        </w:tc>
      </w:tr>
      <w:tr>
        <w:trPr>
          <w:trHeight w:val="172" w:hRule="atLeast"/>
        </w:trPr>
        <w:tc>
          <w:tcPr>
            <w:tcW w:w="3666" w:type="dxa"/>
          </w:tcPr>
          <w:p>
            <w:pPr>
              <w:pStyle w:val="TableParagraph"/>
              <w:spacing w:line="152" w:lineRule="exact"/>
              <w:ind w:left="107"/>
              <w:rPr>
                <w:sz w:val="15"/>
              </w:rPr>
            </w:pPr>
            <w:r>
              <w:rPr>
                <w:sz w:val="15"/>
              </w:rPr>
              <w:t>TransUnion CreditVision Bankruptcy Score</w:t>
            </w: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r>
        <w:trPr>
          <w:trHeight w:val="172" w:hRule="atLeast"/>
        </w:trPr>
        <w:tc>
          <w:tcPr>
            <w:tcW w:w="3666" w:type="dxa"/>
          </w:tcPr>
          <w:p>
            <w:pPr>
              <w:pStyle w:val="TableParagraph"/>
              <w:spacing w:line="153" w:lineRule="exact"/>
              <w:ind w:left="107"/>
              <w:rPr>
                <w:sz w:val="15"/>
              </w:rPr>
            </w:pPr>
            <w:r>
              <w:rPr>
                <w:sz w:val="15"/>
              </w:rPr>
              <w:t>TransUnion CreditVision Subprime Auto Risk Score</w:t>
            </w:r>
          </w:p>
        </w:tc>
        <w:tc>
          <w:tcPr>
            <w:tcW w:w="3298" w:type="dxa"/>
          </w:tcPr>
          <w:p>
            <w:pPr>
              <w:pStyle w:val="TableParagraph"/>
              <w:rPr>
                <w:rFonts w:ascii="Times New Roman"/>
                <w:sz w:val="10"/>
              </w:rPr>
            </w:pPr>
          </w:p>
        </w:tc>
        <w:tc>
          <w:tcPr>
            <w:tcW w:w="3305" w:type="dxa"/>
          </w:tcPr>
          <w:p>
            <w:pPr>
              <w:pStyle w:val="TableParagraph"/>
              <w:rPr>
                <w:rFonts w:ascii="Times New Roman"/>
                <w:sz w:val="10"/>
              </w:rPr>
            </w:pPr>
          </w:p>
        </w:tc>
      </w:tr>
    </w:tbl>
    <w:p>
      <w:pPr>
        <w:pStyle w:val="BodyText"/>
        <w:spacing w:before="6"/>
        <w:rPr>
          <w:sz w:val="6"/>
        </w:rPr>
      </w:pPr>
    </w:p>
    <w:p>
      <w:pPr>
        <w:pStyle w:val="BodyText"/>
        <w:spacing w:before="96"/>
        <w:ind w:left="527"/>
      </w:pPr>
      <w:r>
        <w:rPr/>
        <w:t>*All pricing is on an individual automated transaction or inquiry basis unless otherwise noted. Pricing for joint transactions is double unless otherwise noted.</w:t>
      </w:r>
    </w:p>
    <w:p>
      <w:pPr>
        <w:pStyle w:val="BodyText"/>
        <w:ind w:left="527"/>
      </w:pPr>
      <w:r>
        <w:rPr/>
        <w:t>*Fraud and Identity Management and Scoring Products are considered add-ons to the Credit Report. For further clarity, Subscriber shall pay for each Credit Report used in the provision of Fraud Prevention and Scoring Products, as well as the added surcharge for the Fraud Prevention and Scoring Products set forth in this Pricing Addendum.</w:t>
      </w:r>
    </w:p>
    <w:p>
      <w:pPr>
        <w:pStyle w:val="BodyText"/>
        <w:spacing w:before="1"/>
        <w:ind w:left="527"/>
      </w:pPr>
      <w:r>
        <w:rPr>
          <w:position w:val="5"/>
          <w:sz w:val="9"/>
        </w:rPr>
        <w:t>a </w:t>
      </w:r>
      <w:r>
        <w:rPr/>
        <w:t>The details of offline or analytical jobs will be documented in a requirements form mutually agreed to in writing by the parties.</w:t>
      </w:r>
    </w:p>
    <w:p>
      <w:pPr>
        <w:spacing w:after="0"/>
        <w:sectPr>
          <w:footerReference w:type="default" r:id="rId5"/>
          <w:type w:val="continuous"/>
          <w:pgSz w:w="12240" w:h="15840"/>
          <w:pgMar w:footer="332" w:top="240" w:bottom="520" w:left="620" w:right="600"/>
        </w:sectPr>
      </w:pPr>
    </w:p>
    <w:p>
      <w:pPr>
        <w:pStyle w:val="BodyText"/>
        <w:spacing w:before="10"/>
        <w:rPr>
          <w:sz w:val="14"/>
        </w:rPr>
      </w:pPr>
    </w:p>
    <w:p>
      <w:pPr>
        <w:pStyle w:val="ListParagraph"/>
        <w:numPr>
          <w:ilvl w:val="0"/>
          <w:numId w:val="1"/>
        </w:numPr>
        <w:tabs>
          <w:tab w:pos="459" w:val="left" w:leader="none"/>
          <w:tab w:pos="460" w:val="left" w:leader="none"/>
        </w:tabs>
        <w:spacing w:line="240" w:lineRule="auto" w:before="0" w:after="0"/>
        <w:ind w:left="460" w:right="0" w:hanging="360"/>
        <w:jc w:val="left"/>
        <w:rPr>
          <w:sz w:val="15"/>
        </w:rPr>
      </w:pPr>
      <w:r>
        <w:rPr>
          <w:sz w:val="15"/>
        </w:rPr>
        <w:t>Additional pricing terms and</w:t>
      </w:r>
      <w:r>
        <w:rPr>
          <w:spacing w:val="-6"/>
          <w:sz w:val="15"/>
        </w:rPr>
        <w:t> </w:t>
      </w:r>
      <w:r>
        <w:rPr>
          <w:sz w:val="15"/>
        </w:rPr>
        <w:t>conditions:</w:t>
      </w:r>
    </w:p>
    <w:p>
      <w:pPr>
        <w:pStyle w:val="BodyText"/>
        <w:rPr>
          <w:sz w:val="16"/>
        </w:rPr>
      </w:pPr>
    </w:p>
    <w:p>
      <w:pPr>
        <w:pStyle w:val="BodyText"/>
        <w:rPr>
          <w:sz w:val="16"/>
        </w:rPr>
      </w:pPr>
    </w:p>
    <w:p>
      <w:pPr>
        <w:pStyle w:val="BodyText"/>
        <w:rPr>
          <w:sz w:val="16"/>
        </w:rPr>
      </w:pPr>
    </w:p>
    <w:p>
      <w:pPr>
        <w:pStyle w:val="ListParagraph"/>
        <w:numPr>
          <w:ilvl w:val="0"/>
          <w:numId w:val="1"/>
        </w:numPr>
        <w:tabs>
          <w:tab w:pos="460" w:val="left" w:leader="none"/>
        </w:tabs>
        <w:spacing w:line="240" w:lineRule="auto" w:before="139" w:after="0"/>
        <w:ind w:left="460" w:right="38" w:hanging="360"/>
        <w:jc w:val="both"/>
        <w:rPr>
          <w:sz w:val="15"/>
        </w:rPr>
      </w:pPr>
      <w:r>
        <w:rPr>
          <w:sz w:val="15"/>
        </w:rPr>
        <w:t>Membership Fees: In advance, or on the Effective Date of the Agreement, and thereafter on each anniversary of the Agreement, an annual membership fee of $0.00 (which annual membership fee may be</w:t>
      </w:r>
      <w:r>
        <w:rPr>
          <w:spacing w:val="-10"/>
          <w:sz w:val="15"/>
        </w:rPr>
        <w:t> </w:t>
      </w:r>
      <w:r>
        <w:rPr>
          <w:sz w:val="15"/>
        </w:rPr>
        <w:t>adjusted</w:t>
      </w:r>
      <w:r>
        <w:rPr>
          <w:spacing w:val="-9"/>
          <w:sz w:val="15"/>
        </w:rPr>
        <w:t> </w:t>
      </w:r>
      <w:r>
        <w:rPr>
          <w:sz w:val="15"/>
        </w:rPr>
        <w:t>by</w:t>
      </w:r>
      <w:r>
        <w:rPr>
          <w:spacing w:val="-10"/>
          <w:sz w:val="15"/>
        </w:rPr>
        <w:t> </w:t>
      </w:r>
      <w:r>
        <w:rPr>
          <w:sz w:val="15"/>
        </w:rPr>
        <w:t>TransUnion</w:t>
      </w:r>
      <w:r>
        <w:rPr>
          <w:spacing w:val="-12"/>
          <w:sz w:val="15"/>
        </w:rPr>
        <w:t> </w:t>
      </w:r>
      <w:r>
        <w:rPr>
          <w:sz w:val="15"/>
        </w:rPr>
        <w:t>from</w:t>
      </w:r>
      <w:r>
        <w:rPr>
          <w:spacing w:val="-10"/>
          <w:sz w:val="15"/>
        </w:rPr>
        <w:t> </w:t>
      </w:r>
      <w:r>
        <w:rPr>
          <w:sz w:val="15"/>
        </w:rPr>
        <w:t>time</w:t>
      </w:r>
      <w:r>
        <w:rPr>
          <w:spacing w:val="-11"/>
          <w:sz w:val="15"/>
        </w:rPr>
        <w:t> </w:t>
      </w:r>
      <w:r>
        <w:rPr>
          <w:sz w:val="15"/>
        </w:rPr>
        <w:t>to</w:t>
      </w:r>
      <w:r>
        <w:rPr>
          <w:spacing w:val="-11"/>
          <w:sz w:val="15"/>
        </w:rPr>
        <w:t> </w:t>
      </w:r>
      <w:r>
        <w:rPr>
          <w:sz w:val="15"/>
        </w:rPr>
        <w:t>time</w:t>
      </w:r>
      <w:r>
        <w:rPr>
          <w:spacing w:val="-10"/>
          <w:sz w:val="15"/>
        </w:rPr>
        <w:t> </w:t>
      </w:r>
      <w:r>
        <w:rPr>
          <w:sz w:val="15"/>
        </w:rPr>
        <w:t>and</w:t>
      </w:r>
      <w:r>
        <w:rPr>
          <w:spacing w:val="-9"/>
          <w:sz w:val="15"/>
        </w:rPr>
        <w:t> </w:t>
      </w:r>
      <w:r>
        <w:rPr>
          <w:sz w:val="15"/>
        </w:rPr>
        <w:t>shall</w:t>
      </w:r>
      <w:r>
        <w:rPr>
          <w:spacing w:val="-9"/>
          <w:sz w:val="15"/>
        </w:rPr>
        <w:t> </w:t>
      </w:r>
      <w:r>
        <w:rPr>
          <w:sz w:val="15"/>
        </w:rPr>
        <w:t>become</w:t>
      </w:r>
      <w:r>
        <w:rPr>
          <w:spacing w:val="-9"/>
          <w:sz w:val="15"/>
        </w:rPr>
        <w:t> </w:t>
      </w:r>
      <w:r>
        <w:rPr>
          <w:sz w:val="15"/>
        </w:rPr>
        <w:t>effective within thirty (30) days’ notice to Subscriber). There shall be no refunds or</w:t>
      </w:r>
      <w:r>
        <w:rPr>
          <w:spacing w:val="-9"/>
          <w:sz w:val="15"/>
        </w:rPr>
        <w:t> </w:t>
      </w:r>
      <w:r>
        <w:rPr>
          <w:sz w:val="15"/>
        </w:rPr>
        <w:t>rebates</w:t>
      </w:r>
      <w:r>
        <w:rPr>
          <w:spacing w:val="-6"/>
          <w:sz w:val="15"/>
        </w:rPr>
        <w:t> </w:t>
      </w:r>
      <w:r>
        <w:rPr>
          <w:sz w:val="15"/>
        </w:rPr>
        <w:t>of</w:t>
      </w:r>
      <w:r>
        <w:rPr>
          <w:spacing w:val="-10"/>
          <w:sz w:val="15"/>
        </w:rPr>
        <w:t> </w:t>
      </w:r>
      <w:r>
        <w:rPr>
          <w:sz w:val="15"/>
        </w:rPr>
        <w:t>the</w:t>
      </w:r>
      <w:r>
        <w:rPr>
          <w:spacing w:val="-9"/>
          <w:sz w:val="15"/>
        </w:rPr>
        <w:t> </w:t>
      </w:r>
      <w:r>
        <w:rPr>
          <w:sz w:val="15"/>
        </w:rPr>
        <w:t>annual</w:t>
      </w:r>
      <w:r>
        <w:rPr>
          <w:spacing w:val="-10"/>
          <w:sz w:val="15"/>
        </w:rPr>
        <w:t> </w:t>
      </w:r>
      <w:r>
        <w:rPr>
          <w:sz w:val="15"/>
        </w:rPr>
        <w:t>membership</w:t>
      </w:r>
      <w:r>
        <w:rPr>
          <w:spacing w:val="-11"/>
          <w:sz w:val="15"/>
        </w:rPr>
        <w:t> </w:t>
      </w:r>
      <w:r>
        <w:rPr>
          <w:sz w:val="15"/>
        </w:rPr>
        <w:t>fee</w:t>
      </w:r>
      <w:r>
        <w:rPr>
          <w:spacing w:val="-8"/>
          <w:sz w:val="15"/>
        </w:rPr>
        <w:t> </w:t>
      </w:r>
      <w:r>
        <w:rPr>
          <w:sz w:val="15"/>
        </w:rPr>
        <w:t>payable</w:t>
      </w:r>
      <w:r>
        <w:rPr>
          <w:spacing w:val="-9"/>
          <w:sz w:val="15"/>
        </w:rPr>
        <w:t> </w:t>
      </w:r>
      <w:r>
        <w:rPr>
          <w:sz w:val="15"/>
        </w:rPr>
        <w:t>under</w:t>
      </w:r>
      <w:r>
        <w:rPr>
          <w:spacing w:val="-10"/>
          <w:sz w:val="15"/>
        </w:rPr>
        <w:t> </w:t>
      </w:r>
      <w:r>
        <w:rPr>
          <w:sz w:val="15"/>
        </w:rPr>
        <w:t>the</w:t>
      </w:r>
      <w:r>
        <w:rPr>
          <w:spacing w:val="-9"/>
          <w:sz w:val="15"/>
        </w:rPr>
        <w:t> </w:t>
      </w:r>
      <w:r>
        <w:rPr>
          <w:sz w:val="15"/>
        </w:rPr>
        <w:t>Agreement. All membership fees are compensation for supplying Services</w:t>
      </w:r>
      <w:r>
        <w:rPr>
          <w:spacing w:val="-17"/>
          <w:sz w:val="15"/>
        </w:rPr>
        <w:t> </w:t>
      </w:r>
      <w:r>
        <w:rPr>
          <w:sz w:val="15"/>
        </w:rPr>
        <w:t>and</w:t>
      </w:r>
    </w:p>
    <w:p>
      <w:pPr>
        <w:pStyle w:val="BodyText"/>
        <w:spacing w:before="10"/>
        <w:rPr>
          <w:sz w:val="14"/>
        </w:rPr>
      </w:pPr>
      <w:r>
        <w:rPr/>
        <w:br w:type="column"/>
      </w:r>
      <w:r>
        <w:rPr>
          <w:sz w:val="14"/>
        </w:rPr>
      </w:r>
    </w:p>
    <w:p>
      <w:pPr>
        <w:pStyle w:val="BodyText"/>
        <w:ind w:left="460"/>
      </w:pPr>
      <w:r>
        <w:rPr/>
        <w:t>carrying the Subscriber’s account.</w:t>
      </w:r>
    </w:p>
    <w:p>
      <w:pPr>
        <w:pStyle w:val="BodyText"/>
      </w:pPr>
    </w:p>
    <w:p>
      <w:pPr>
        <w:pStyle w:val="ListParagraph"/>
        <w:numPr>
          <w:ilvl w:val="0"/>
          <w:numId w:val="1"/>
        </w:numPr>
        <w:tabs>
          <w:tab w:pos="460" w:val="left" w:leader="none"/>
        </w:tabs>
        <w:spacing w:line="240" w:lineRule="auto" w:before="1" w:after="0"/>
        <w:ind w:left="460" w:right="114" w:hanging="360"/>
        <w:jc w:val="both"/>
        <w:rPr>
          <w:sz w:val="15"/>
        </w:rPr>
      </w:pPr>
      <w:r>
        <w:rPr>
          <w:sz w:val="15"/>
        </w:rPr>
        <w:t>Deposit: In addition to an annual membership fee, Subscriber shall deposit with TransUnion the sum of $0.00 to secure payment of all future invoices. Such deposit is refundable upon termination of the Agreement if all fees have been paid, or earlier at the discretion of TransUnion, or shall be applied to an unpaid balance arising at any time.</w:t>
      </w:r>
    </w:p>
    <w:p>
      <w:pPr>
        <w:spacing w:after="0" w:line="240" w:lineRule="auto"/>
        <w:jc w:val="both"/>
        <w:rPr>
          <w:sz w:val="15"/>
        </w:rPr>
        <w:sectPr>
          <w:type w:val="continuous"/>
          <w:pgSz w:w="12240" w:h="15840"/>
          <w:pgMar w:top="240" w:bottom="520" w:left="620" w:right="600"/>
          <w:cols w:num="2" w:equalWidth="0">
            <w:col w:w="5186" w:space="575"/>
            <w:col w:w="5259"/>
          </w:cols>
        </w:sectPr>
      </w:pPr>
    </w:p>
    <w:p>
      <w:pPr>
        <w:pStyle w:val="BodyText"/>
        <w:ind w:left="563"/>
        <w:rPr>
          <w:sz w:val="20"/>
        </w:rPr>
      </w:pPr>
      <w:r>
        <w:rPr>
          <w:sz w:val="20"/>
        </w:rPr>
        <w:drawing>
          <wp:inline distT="0" distB="0" distL="0" distR="0">
            <wp:extent cx="1247941" cy="32385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247941" cy="323850"/>
                    </a:xfrm>
                    <a:prstGeom prst="rect">
                      <a:avLst/>
                    </a:prstGeom>
                  </pic:spPr>
                </pic:pic>
              </a:graphicData>
            </a:graphic>
          </wp:inline>
        </w:drawing>
      </w:r>
      <w:r>
        <w:rPr>
          <w:sz w:val="20"/>
        </w:rPr>
      </w:r>
    </w:p>
    <w:p>
      <w:pPr>
        <w:pStyle w:val="BodyText"/>
        <w:spacing w:before="1"/>
        <w:rPr>
          <w:sz w:val="18"/>
        </w:rPr>
      </w:pPr>
    </w:p>
    <w:p>
      <w:pPr>
        <w:pStyle w:val="ListParagraph"/>
        <w:numPr>
          <w:ilvl w:val="0"/>
          <w:numId w:val="1"/>
        </w:numPr>
        <w:tabs>
          <w:tab w:pos="460" w:val="left" w:leader="none"/>
        </w:tabs>
        <w:spacing w:line="240" w:lineRule="auto" w:before="96" w:after="0"/>
        <w:ind w:left="460" w:right="5878" w:hanging="360"/>
        <w:jc w:val="both"/>
        <w:rPr>
          <w:sz w:val="15"/>
        </w:rPr>
      </w:pPr>
      <w:r>
        <w:rPr/>
        <w:pict>
          <v:shape style="position:absolute;margin-left:322.609985pt;margin-top:.314902pt;width:253.75pt;height:100.85pt;mso-position-horizontal-relative:page;mso-position-vertical-relative:paragraph;z-index:2516592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3871"/>
                  </w:tblGrid>
                  <w:tr>
                    <w:trPr>
                      <w:trHeight w:val="484" w:hRule="atLeast"/>
                    </w:trPr>
                    <w:tc>
                      <w:tcPr>
                        <w:tcW w:w="5059" w:type="dxa"/>
                        <w:gridSpan w:val="2"/>
                      </w:tcPr>
                      <w:p>
                        <w:pPr>
                          <w:pStyle w:val="TableParagraph"/>
                          <w:spacing w:before="58"/>
                          <w:ind w:left="108"/>
                          <w:rPr>
                            <w:b/>
                            <w:sz w:val="16"/>
                          </w:rPr>
                        </w:pPr>
                        <w:r>
                          <w:rPr>
                            <w:b/>
                            <w:sz w:val="16"/>
                          </w:rPr>
                          <w:t>Subscriber: </w:t>
                        </w:r>
                        <w:r>
                          <w:rPr>
                            <w:b/>
                            <w:sz w:val="16"/>
                            <w:shd w:fill="D9D9D9" w:color="auto" w:val="clear"/>
                          </w:rPr>
                          <w:t>[Insert complete legal name]</w:t>
                        </w:r>
                      </w:p>
                    </w:tc>
                  </w:tr>
                  <w:tr>
                    <w:trPr>
                      <w:trHeight w:val="369" w:hRule="atLeast"/>
                    </w:trPr>
                    <w:tc>
                      <w:tcPr>
                        <w:tcW w:w="1188" w:type="dxa"/>
                      </w:tcPr>
                      <w:p>
                        <w:pPr>
                          <w:pStyle w:val="TableParagraph"/>
                          <w:spacing w:before="11"/>
                          <w:rPr>
                            <w:sz w:val="15"/>
                          </w:rPr>
                        </w:pPr>
                      </w:p>
                      <w:p>
                        <w:pPr>
                          <w:pStyle w:val="TableParagraph"/>
                          <w:spacing w:line="166" w:lineRule="exact"/>
                          <w:ind w:left="108"/>
                          <w:rPr>
                            <w:sz w:val="16"/>
                          </w:rPr>
                        </w:pPr>
                        <w:r>
                          <w:rPr>
                            <w:sz w:val="16"/>
                          </w:rPr>
                          <w:t>Signature:</w:t>
                        </w:r>
                      </w:p>
                    </w:tc>
                    <w:tc>
                      <w:tcPr>
                        <w:tcW w:w="3871" w:type="dxa"/>
                      </w:tcPr>
                      <w:p>
                        <w:pPr>
                          <w:pStyle w:val="TableParagraph"/>
                          <w:rPr>
                            <w:rFonts w:ascii="Times New Roman"/>
                            <w:sz w:val="14"/>
                          </w:rPr>
                        </w:pPr>
                      </w:p>
                    </w:tc>
                  </w:tr>
                  <w:tr>
                    <w:trPr>
                      <w:trHeight w:val="366" w:hRule="atLeast"/>
                    </w:trPr>
                    <w:tc>
                      <w:tcPr>
                        <w:tcW w:w="1188" w:type="dxa"/>
                      </w:tcPr>
                      <w:p>
                        <w:pPr>
                          <w:pStyle w:val="TableParagraph"/>
                          <w:spacing w:before="8"/>
                          <w:rPr>
                            <w:sz w:val="15"/>
                          </w:rPr>
                        </w:pPr>
                      </w:p>
                      <w:p>
                        <w:pPr>
                          <w:pStyle w:val="TableParagraph"/>
                          <w:spacing w:line="166" w:lineRule="exact"/>
                          <w:ind w:left="108"/>
                          <w:rPr>
                            <w:sz w:val="16"/>
                          </w:rPr>
                        </w:pPr>
                        <w:r>
                          <w:rPr>
                            <w:sz w:val="16"/>
                          </w:rPr>
                          <w:t>Name:</w:t>
                        </w:r>
                      </w:p>
                    </w:tc>
                    <w:tc>
                      <w:tcPr>
                        <w:tcW w:w="3871" w:type="dxa"/>
                      </w:tcPr>
                      <w:p>
                        <w:pPr>
                          <w:pStyle w:val="TableParagraph"/>
                          <w:rPr>
                            <w:rFonts w:ascii="Times New Roman"/>
                            <w:sz w:val="14"/>
                          </w:rPr>
                        </w:pPr>
                      </w:p>
                    </w:tc>
                  </w:tr>
                  <w:tr>
                    <w:trPr>
                      <w:trHeight w:val="369" w:hRule="atLeast"/>
                    </w:trPr>
                    <w:tc>
                      <w:tcPr>
                        <w:tcW w:w="1188" w:type="dxa"/>
                      </w:tcPr>
                      <w:p>
                        <w:pPr>
                          <w:pStyle w:val="TableParagraph"/>
                          <w:spacing w:before="10"/>
                          <w:rPr>
                            <w:sz w:val="15"/>
                          </w:rPr>
                        </w:pPr>
                      </w:p>
                      <w:p>
                        <w:pPr>
                          <w:pStyle w:val="TableParagraph"/>
                          <w:spacing w:line="166" w:lineRule="exact" w:before="1"/>
                          <w:ind w:left="108"/>
                          <w:rPr>
                            <w:sz w:val="16"/>
                          </w:rPr>
                        </w:pPr>
                        <w:r>
                          <w:rPr>
                            <w:sz w:val="16"/>
                          </w:rPr>
                          <w:t>Title:</w:t>
                        </w:r>
                      </w:p>
                    </w:tc>
                    <w:tc>
                      <w:tcPr>
                        <w:tcW w:w="3871" w:type="dxa"/>
                      </w:tcPr>
                      <w:p>
                        <w:pPr>
                          <w:pStyle w:val="TableParagraph"/>
                          <w:rPr>
                            <w:rFonts w:ascii="Times New Roman"/>
                            <w:sz w:val="14"/>
                          </w:rPr>
                        </w:pPr>
                      </w:p>
                    </w:tc>
                  </w:tr>
                  <w:tr>
                    <w:trPr>
                      <w:trHeight w:val="366" w:hRule="atLeast"/>
                    </w:trPr>
                    <w:tc>
                      <w:tcPr>
                        <w:tcW w:w="1188" w:type="dxa"/>
                      </w:tcPr>
                      <w:p>
                        <w:pPr>
                          <w:pStyle w:val="TableParagraph"/>
                          <w:spacing w:before="8"/>
                          <w:rPr>
                            <w:sz w:val="15"/>
                          </w:rPr>
                        </w:pPr>
                      </w:p>
                      <w:p>
                        <w:pPr>
                          <w:pStyle w:val="TableParagraph"/>
                          <w:spacing w:line="166" w:lineRule="exact"/>
                          <w:ind w:left="108"/>
                          <w:rPr>
                            <w:sz w:val="16"/>
                          </w:rPr>
                        </w:pPr>
                        <w:r>
                          <w:rPr>
                            <w:sz w:val="16"/>
                          </w:rPr>
                          <w:t>Date:</w:t>
                        </w:r>
                      </w:p>
                    </w:tc>
                    <w:tc>
                      <w:tcPr>
                        <w:tcW w:w="3871" w:type="dxa"/>
                      </w:tcPr>
                      <w:p>
                        <w:pPr>
                          <w:pStyle w:val="TableParagraph"/>
                          <w:rPr>
                            <w:rFonts w:ascii="Times New Roman"/>
                            <w:sz w:val="14"/>
                          </w:rPr>
                        </w:pPr>
                      </w:p>
                    </w:tc>
                  </w:tr>
                </w:tbl>
                <w:p>
                  <w:pPr>
                    <w:pStyle w:val="BodyText"/>
                  </w:pPr>
                </w:p>
              </w:txbxContent>
            </v:textbox>
            <w10:wrap type="none"/>
          </v:shape>
        </w:pict>
      </w:r>
      <w:r>
        <w:rPr>
          <w:sz w:val="15"/>
        </w:rPr>
        <w:t>TransUnion reserves the right to amend this schedule of fees and charges from time to time, and such changes shall become effective upon thirty (30) days’ notice to</w:t>
      </w:r>
      <w:r>
        <w:rPr>
          <w:spacing w:val="-12"/>
          <w:sz w:val="15"/>
        </w:rPr>
        <w:t> </w:t>
      </w:r>
      <w:r>
        <w:rPr>
          <w:sz w:val="15"/>
        </w:rPr>
        <w:t>Subscriber.</w:t>
      </w:r>
    </w:p>
    <w:p>
      <w:pPr>
        <w:pStyle w:val="BodyText"/>
        <w:rPr>
          <w:sz w:val="16"/>
        </w:rPr>
      </w:pPr>
    </w:p>
    <w:p>
      <w:pPr>
        <w:pStyle w:val="BodyText"/>
        <w:spacing w:before="2"/>
        <w:rPr>
          <w:sz w:val="14"/>
        </w:rPr>
      </w:pPr>
    </w:p>
    <w:p>
      <w:pPr>
        <w:pStyle w:val="ListParagraph"/>
        <w:numPr>
          <w:ilvl w:val="0"/>
          <w:numId w:val="1"/>
        </w:numPr>
        <w:tabs>
          <w:tab w:pos="460" w:val="left" w:leader="none"/>
        </w:tabs>
        <w:spacing w:line="240" w:lineRule="auto" w:before="0" w:after="0"/>
        <w:ind w:left="460" w:right="5873" w:hanging="360"/>
        <w:jc w:val="both"/>
        <w:rPr>
          <w:sz w:val="15"/>
        </w:rPr>
      </w:pPr>
      <w:r>
        <w:rPr>
          <w:sz w:val="15"/>
        </w:rPr>
        <w:t>This Pricing Addendum contains TransUnion Confidential Information and is for the use by Subscriber only, and Subscriber shall not share this</w:t>
      </w:r>
      <w:r>
        <w:rPr>
          <w:spacing w:val="-5"/>
          <w:sz w:val="15"/>
        </w:rPr>
        <w:t> </w:t>
      </w:r>
      <w:r>
        <w:rPr>
          <w:sz w:val="15"/>
        </w:rPr>
        <w:t>Confidential</w:t>
      </w:r>
      <w:r>
        <w:rPr>
          <w:spacing w:val="-11"/>
          <w:sz w:val="15"/>
        </w:rPr>
        <w:t> </w:t>
      </w:r>
      <w:r>
        <w:rPr>
          <w:sz w:val="15"/>
        </w:rPr>
        <w:t>Information</w:t>
      </w:r>
      <w:r>
        <w:rPr>
          <w:spacing w:val="-8"/>
          <w:sz w:val="15"/>
        </w:rPr>
        <w:t> </w:t>
      </w:r>
      <w:r>
        <w:rPr>
          <w:sz w:val="15"/>
        </w:rPr>
        <w:t>with</w:t>
      </w:r>
      <w:r>
        <w:rPr>
          <w:spacing w:val="-7"/>
          <w:sz w:val="15"/>
        </w:rPr>
        <w:t> </w:t>
      </w:r>
      <w:r>
        <w:rPr>
          <w:sz w:val="15"/>
        </w:rPr>
        <w:t>any</w:t>
      </w:r>
      <w:r>
        <w:rPr>
          <w:spacing w:val="-10"/>
          <w:sz w:val="15"/>
        </w:rPr>
        <w:t> </w:t>
      </w:r>
      <w:r>
        <w:rPr>
          <w:sz w:val="15"/>
        </w:rPr>
        <w:t>third</w:t>
      </w:r>
      <w:r>
        <w:rPr>
          <w:spacing w:val="-9"/>
          <w:sz w:val="15"/>
        </w:rPr>
        <w:t> </w:t>
      </w:r>
      <w:r>
        <w:rPr>
          <w:sz w:val="15"/>
        </w:rPr>
        <w:t>party</w:t>
      </w:r>
      <w:r>
        <w:rPr>
          <w:spacing w:val="-7"/>
          <w:sz w:val="15"/>
        </w:rPr>
        <w:t> </w:t>
      </w:r>
      <w:r>
        <w:rPr>
          <w:sz w:val="15"/>
        </w:rPr>
        <w:t>without</w:t>
      </w:r>
      <w:r>
        <w:rPr>
          <w:spacing w:val="-11"/>
          <w:sz w:val="15"/>
        </w:rPr>
        <w:t> </w:t>
      </w:r>
      <w:r>
        <w:rPr>
          <w:sz w:val="15"/>
        </w:rPr>
        <w:t>the</w:t>
      </w:r>
      <w:r>
        <w:rPr>
          <w:spacing w:val="-9"/>
          <w:sz w:val="15"/>
        </w:rPr>
        <w:t> </w:t>
      </w:r>
      <w:r>
        <w:rPr>
          <w:sz w:val="15"/>
        </w:rPr>
        <w:t>prior</w:t>
      </w:r>
      <w:r>
        <w:rPr>
          <w:spacing w:val="-6"/>
          <w:sz w:val="15"/>
        </w:rPr>
        <w:t> </w:t>
      </w:r>
      <w:r>
        <w:rPr>
          <w:sz w:val="15"/>
        </w:rPr>
        <w:t>written consent of</w:t>
      </w:r>
      <w:r>
        <w:rPr>
          <w:spacing w:val="1"/>
          <w:sz w:val="15"/>
        </w:rPr>
        <w:t> </w:t>
      </w:r>
      <w:r>
        <w:rPr>
          <w:sz w:val="15"/>
        </w:rPr>
        <w:t>TransUnion.</w:t>
      </w:r>
    </w:p>
    <w:p>
      <w:pPr>
        <w:pStyle w:val="BodyText"/>
        <w:spacing w:before="11"/>
        <w:rPr>
          <w:sz w:val="14"/>
        </w:rPr>
      </w:pPr>
    </w:p>
    <w:p>
      <w:pPr>
        <w:pStyle w:val="BodyText"/>
        <w:ind w:left="100" w:right="5874"/>
        <w:jc w:val="both"/>
      </w:pPr>
      <w:r>
        <w:rPr/>
        <w:t>Except as expressly revised by this Pricing Addendum, all other terms and conditions of the Agreement shall remain in full force and effect. This</w:t>
      </w:r>
      <w:r>
        <w:rPr>
          <w:spacing w:val="-29"/>
        </w:rPr>
        <w:t> </w:t>
      </w:r>
      <w:r>
        <w:rPr/>
        <w:t>Pricing Addendum</w:t>
      </w:r>
      <w:r>
        <w:rPr>
          <w:spacing w:val="-7"/>
        </w:rPr>
        <w:t> </w:t>
      </w:r>
      <w:r>
        <w:rPr/>
        <w:t>is</w:t>
      </w:r>
      <w:r>
        <w:rPr>
          <w:spacing w:val="-6"/>
        </w:rPr>
        <w:t> </w:t>
      </w:r>
      <w:r>
        <w:rPr/>
        <w:t>hereby</w:t>
      </w:r>
      <w:r>
        <w:rPr>
          <w:spacing w:val="-12"/>
        </w:rPr>
        <w:t> </w:t>
      </w:r>
      <w:r>
        <w:rPr/>
        <w:t>approved</w:t>
      </w:r>
      <w:r>
        <w:rPr>
          <w:spacing w:val="-7"/>
        </w:rPr>
        <w:t> </w:t>
      </w:r>
      <w:r>
        <w:rPr/>
        <w:t>and</w:t>
      </w:r>
      <w:r>
        <w:rPr>
          <w:spacing w:val="-8"/>
        </w:rPr>
        <w:t> </w:t>
      </w:r>
      <w:r>
        <w:rPr/>
        <w:t>accepted,</w:t>
      </w:r>
      <w:r>
        <w:rPr>
          <w:spacing w:val="-6"/>
        </w:rPr>
        <w:t> </w:t>
      </w:r>
      <w:r>
        <w:rPr/>
        <w:t>as</w:t>
      </w:r>
      <w:r>
        <w:rPr>
          <w:spacing w:val="-8"/>
        </w:rPr>
        <w:t> </w:t>
      </w:r>
      <w:r>
        <w:rPr/>
        <w:t>of</w:t>
      </w:r>
      <w:r>
        <w:rPr>
          <w:spacing w:val="-9"/>
        </w:rPr>
        <w:t> </w:t>
      </w:r>
      <w:r>
        <w:rPr/>
        <w:t>the</w:t>
      </w:r>
      <w:r>
        <w:rPr>
          <w:spacing w:val="-7"/>
        </w:rPr>
        <w:t> </w:t>
      </w:r>
      <w:r>
        <w:rPr/>
        <w:t>above</w:t>
      </w:r>
      <w:r>
        <w:rPr>
          <w:spacing w:val="-8"/>
        </w:rPr>
        <w:t> </w:t>
      </w:r>
      <w:r>
        <w:rPr/>
        <w:t>Effective</w:t>
      </w:r>
      <w:r>
        <w:rPr>
          <w:spacing w:val="-10"/>
        </w:rPr>
        <w:t> </w:t>
      </w:r>
      <w:r>
        <w:rPr/>
        <w:t>Date, on behalf of the parties hereto as evidenced by the signatures of their duly authorized</w:t>
      </w:r>
      <w:r>
        <w:rPr>
          <w:spacing w:val="-10"/>
        </w:rPr>
        <w:t> </w:t>
      </w:r>
      <w:r>
        <w:rPr/>
        <w:t>representatives.</w:t>
      </w:r>
      <w:r>
        <w:rPr>
          <w:spacing w:val="23"/>
        </w:rPr>
        <w:t> </w:t>
      </w:r>
      <w:r>
        <w:rPr/>
        <w:t>The</w:t>
      </w:r>
      <w:r>
        <w:rPr>
          <w:spacing w:val="-10"/>
        </w:rPr>
        <w:t> </w:t>
      </w:r>
      <w:r>
        <w:rPr/>
        <w:t>parties</w:t>
      </w:r>
      <w:r>
        <w:rPr>
          <w:spacing w:val="-9"/>
        </w:rPr>
        <w:t> </w:t>
      </w:r>
      <w:r>
        <w:rPr/>
        <w:t>hereto</w:t>
      </w:r>
      <w:r>
        <w:rPr>
          <w:spacing w:val="-12"/>
        </w:rPr>
        <w:t> </w:t>
      </w:r>
      <w:r>
        <w:rPr/>
        <w:t>agree</w:t>
      </w:r>
      <w:r>
        <w:rPr>
          <w:spacing w:val="-12"/>
        </w:rPr>
        <w:t> </w:t>
      </w:r>
      <w:r>
        <w:rPr/>
        <w:t>that</w:t>
      </w:r>
      <w:r>
        <w:rPr>
          <w:spacing w:val="-11"/>
        </w:rPr>
        <w:t> </w:t>
      </w:r>
      <w:r>
        <w:rPr/>
        <w:t>a</w:t>
      </w:r>
      <w:r>
        <w:rPr>
          <w:spacing w:val="-11"/>
        </w:rPr>
        <w:t> </w:t>
      </w:r>
      <w:r>
        <w:rPr/>
        <w:t>facsimile</w:t>
      </w:r>
      <w:r>
        <w:rPr>
          <w:spacing w:val="-12"/>
        </w:rPr>
        <w:t> </w:t>
      </w:r>
      <w:r>
        <w:rPr/>
        <w:t>or</w:t>
      </w:r>
      <w:r>
        <w:rPr>
          <w:spacing w:val="-10"/>
        </w:rPr>
        <w:t> </w:t>
      </w:r>
      <w:r>
        <w:rPr/>
        <w:t>other electronic transmission of an unmodified image (e.g., transmission in a portable</w:t>
      </w:r>
      <w:r>
        <w:rPr>
          <w:spacing w:val="-14"/>
        </w:rPr>
        <w:t> </w:t>
      </w:r>
      <w:r>
        <w:rPr/>
        <w:t>document</w:t>
      </w:r>
      <w:r>
        <w:rPr>
          <w:spacing w:val="-12"/>
        </w:rPr>
        <w:t> </w:t>
      </w:r>
      <w:r>
        <w:rPr/>
        <w:t>format</w:t>
      </w:r>
      <w:r>
        <w:rPr>
          <w:spacing w:val="-12"/>
        </w:rPr>
        <w:t> </w:t>
      </w:r>
      <w:r>
        <w:rPr/>
        <w:t>“pdf”)</w:t>
      </w:r>
      <w:r>
        <w:rPr>
          <w:spacing w:val="-13"/>
        </w:rPr>
        <w:t> </w:t>
      </w:r>
      <w:r>
        <w:rPr/>
        <w:t>of</w:t>
      </w:r>
      <w:r>
        <w:rPr>
          <w:spacing w:val="-12"/>
        </w:rPr>
        <w:t> </w:t>
      </w:r>
      <w:r>
        <w:rPr/>
        <w:t>this</w:t>
      </w:r>
      <w:r>
        <w:rPr>
          <w:spacing w:val="-13"/>
        </w:rPr>
        <w:t> </w:t>
      </w:r>
      <w:r>
        <w:rPr/>
        <w:t>fully</w:t>
      </w:r>
      <w:r>
        <w:rPr>
          <w:spacing w:val="-12"/>
        </w:rPr>
        <w:t> </w:t>
      </w:r>
      <w:r>
        <w:rPr/>
        <w:t>executed</w:t>
      </w:r>
      <w:r>
        <w:rPr>
          <w:spacing w:val="-13"/>
        </w:rPr>
        <w:t> </w:t>
      </w:r>
      <w:r>
        <w:rPr/>
        <w:t>Pricing</w:t>
      </w:r>
      <w:r>
        <w:rPr>
          <w:spacing w:val="-11"/>
        </w:rPr>
        <w:t> </w:t>
      </w:r>
      <w:r>
        <w:rPr/>
        <w:t>Addendum</w:t>
      </w:r>
      <w:r>
        <w:rPr>
          <w:spacing w:val="-13"/>
        </w:rPr>
        <w:t> </w:t>
      </w:r>
      <w:r>
        <w:rPr/>
        <w:t>shall constitute an original and legally binding</w:t>
      </w:r>
      <w:r>
        <w:rPr>
          <w:spacing w:val="-5"/>
        </w:rPr>
        <w:t> </w:t>
      </w:r>
      <w:r>
        <w:rPr/>
        <w:t>document.</w:t>
      </w:r>
    </w:p>
    <w:p>
      <w:pPr>
        <w:pStyle w:val="BodyText"/>
        <w:spacing w:before="6"/>
        <w:rPr>
          <w:sz w:val="5"/>
        </w:rPr>
      </w:pPr>
    </w:p>
    <w:tbl>
      <w:tblPr>
        <w:tblW w:w="0" w:type="auto"/>
        <w:jc w:val="left"/>
        <w:tblInd w:w="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3871"/>
      </w:tblGrid>
      <w:tr>
        <w:trPr>
          <w:trHeight w:val="484" w:hRule="atLeast"/>
        </w:trPr>
        <w:tc>
          <w:tcPr>
            <w:tcW w:w="5059" w:type="dxa"/>
            <w:gridSpan w:val="2"/>
          </w:tcPr>
          <w:p>
            <w:pPr>
              <w:pStyle w:val="TableParagraph"/>
              <w:spacing w:before="58"/>
              <w:ind w:left="108"/>
              <w:rPr>
                <w:b/>
                <w:sz w:val="16"/>
              </w:rPr>
            </w:pPr>
            <w:r>
              <w:rPr>
                <w:b/>
                <w:sz w:val="16"/>
              </w:rPr>
              <w:t>TRANS UNION OF CANADA, INC.</w:t>
            </w:r>
          </w:p>
        </w:tc>
      </w:tr>
      <w:tr>
        <w:trPr>
          <w:trHeight w:val="369" w:hRule="atLeast"/>
        </w:trPr>
        <w:tc>
          <w:tcPr>
            <w:tcW w:w="1188" w:type="dxa"/>
          </w:tcPr>
          <w:p>
            <w:pPr>
              <w:pStyle w:val="TableParagraph"/>
              <w:spacing w:before="11"/>
              <w:rPr>
                <w:sz w:val="15"/>
              </w:rPr>
            </w:pPr>
          </w:p>
          <w:p>
            <w:pPr>
              <w:pStyle w:val="TableParagraph"/>
              <w:spacing w:line="166" w:lineRule="exact"/>
              <w:ind w:left="108"/>
              <w:rPr>
                <w:sz w:val="16"/>
              </w:rPr>
            </w:pPr>
            <w:r>
              <w:rPr>
                <w:sz w:val="16"/>
              </w:rPr>
              <w:t>Signature:</w:t>
            </w:r>
          </w:p>
        </w:tc>
        <w:tc>
          <w:tcPr>
            <w:tcW w:w="3871" w:type="dxa"/>
          </w:tcPr>
          <w:p>
            <w:pPr>
              <w:pStyle w:val="TableParagraph"/>
              <w:rPr>
                <w:rFonts w:ascii="Times New Roman"/>
                <w:sz w:val="14"/>
              </w:rPr>
            </w:pPr>
          </w:p>
        </w:tc>
      </w:tr>
      <w:tr>
        <w:trPr>
          <w:trHeight w:val="366" w:hRule="atLeast"/>
        </w:trPr>
        <w:tc>
          <w:tcPr>
            <w:tcW w:w="1188" w:type="dxa"/>
          </w:tcPr>
          <w:p>
            <w:pPr>
              <w:pStyle w:val="TableParagraph"/>
              <w:spacing w:before="8"/>
              <w:rPr>
                <w:sz w:val="15"/>
              </w:rPr>
            </w:pPr>
          </w:p>
          <w:p>
            <w:pPr>
              <w:pStyle w:val="TableParagraph"/>
              <w:spacing w:line="166" w:lineRule="exact"/>
              <w:ind w:left="108"/>
              <w:rPr>
                <w:sz w:val="16"/>
              </w:rPr>
            </w:pPr>
            <w:r>
              <w:rPr>
                <w:sz w:val="16"/>
              </w:rPr>
              <w:t>Name:</w:t>
            </w:r>
          </w:p>
        </w:tc>
        <w:tc>
          <w:tcPr>
            <w:tcW w:w="3871" w:type="dxa"/>
          </w:tcPr>
          <w:p>
            <w:pPr>
              <w:pStyle w:val="TableParagraph"/>
              <w:rPr>
                <w:rFonts w:ascii="Times New Roman"/>
                <w:sz w:val="14"/>
              </w:rPr>
            </w:pPr>
          </w:p>
        </w:tc>
      </w:tr>
      <w:tr>
        <w:trPr>
          <w:trHeight w:val="369" w:hRule="atLeast"/>
        </w:trPr>
        <w:tc>
          <w:tcPr>
            <w:tcW w:w="1188" w:type="dxa"/>
          </w:tcPr>
          <w:p>
            <w:pPr>
              <w:pStyle w:val="TableParagraph"/>
              <w:spacing w:before="10"/>
              <w:rPr>
                <w:sz w:val="15"/>
              </w:rPr>
            </w:pPr>
          </w:p>
          <w:p>
            <w:pPr>
              <w:pStyle w:val="TableParagraph"/>
              <w:spacing w:line="166" w:lineRule="exact" w:before="1"/>
              <w:ind w:left="108"/>
              <w:rPr>
                <w:sz w:val="16"/>
              </w:rPr>
            </w:pPr>
            <w:r>
              <w:rPr>
                <w:sz w:val="16"/>
              </w:rPr>
              <w:t>Title:</w:t>
            </w:r>
          </w:p>
        </w:tc>
        <w:tc>
          <w:tcPr>
            <w:tcW w:w="3871" w:type="dxa"/>
          </w:tcPr>
          <w:p>
            <w:pPr>
              <w:pStyle w:val="TableParagraph"/>
              <w:rPr>
                <w:rFonts w:ascii="Times New Roman"/>
                <w:sz w:val="14"/>
              </w:rPr>
            </w:pPr>
          </w:p>
        </w:tc>
      </w:tr>
      <w:tr>
        <w:trPr>
          <w:trHeight w:val="366" w:hRule="atLeast"/>
        </w:trPr>
        <w:tc>
          <w:tcPr>
            <w:tcW w:w="1188" w:type="dxa"/>
          </w:tcPr>
          <w:p>
            <w:pPr>
              <w:pStyle w:val="TableParagraph"/>
              <w:spacing w:before="8"/>
              <w:rPr>
                <w:sz w:val="15"/>
              </w:rPr>
            </w:pPr>
          </w:p>
          <w:p>
            <w:pPr>
              <w:pStyle w:val="TableParagraph"/>
              <w:spacing w:line="166" w:lineRule="exact"/>
              <w:ind w:left="108"/>
              <w:rPr>
                <w:sz w:val="16"/>
              </w:rPr>
            </w:pPr>
            <w:r>
              <w:rPr>
                <w:sz w:val="16"/>
              </w:rPr>
              <w:t>Date:</w:t>
            </w:r>
          </w:p>
        </w:tc>
        <w:tc>
          <w:tcPr>
            <w:tcW w:w="3871" w:type="dxa"/>
          </w:tcPr>
          <w:p>
            <w:pPr>
              <w:pStyle w:val="TableParagraph"/>
              <w:rPr>
                <w:rFonts w:ascii="Times New Roman"/>
                <w:sz w:val="14"/>
              </w:rPr>
            </w:pPr>
          </w:p>
        </w:tc>
      </w:tr>
    </w:tbl>
    <w:sectPr>
      <w:pgSz w:w="12240" w:h="15840"/>
      <w:pgMar w:header="0" w:footer="332" w:top="420" w:bottom="52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64.419312pt;width:169.7pt;height:9.8pt;mso-position-horizontal-relative:page;mso-position-vertical-relative:page;z-index:-252056576" type="#_x0000_t202" filled="false" stroked="false">
          <v:textbox inset="0,0,0,0">
            <w:txbxContent>
              <w:p>
                <w:pPr>
                  <w:spacing w:before="14"/>
                  <w:ind w:left="20" w:right="0" w:firstLine="0"/>
                  <w:jc w:val="left"/>
                  <w:rPr>
                    <w:sz w:val="14"/>
                  </w:rPr>
                </w:pPr>
                <w:r>
                  <w:rPr>
                    <w:sz w:val="14"/>
                  </w:rPr>
                  <w:t>Pricing Addendum – MSA Lite (April 20, 2020 version)</w:t>
                </w:r>
              </w:p>
            </w:txbxContent>
          </v:textbox>
          <w10:wrap type="none"/>
        </v:shape>
      </w:pict>
    </w:r>
    <w:r>
      <w:rPr/>
      <w:pict>
        <v:shape style="position:absolute;margin-left:476.940002pt;margin-top:764.419312pt;width:77.1pt;height:9.8pt;mso-position-horizontal-relative:page;mso-position-vertical-relative:page;z-index:-252055552" type="#_x0000_t202" filled="false" stroked="false">
          <v:textbox inset="0,0,0,0">
            <w:txbxContent>
              <w:p>
                <w:pPr>
                  <w:spacing w:before="14"/>
                  <w:ind w:left="20" w:right="0" w:firstLine="0"/>
                  <w:jc w:val="left"/>
                  <w:rPr>
                    <w:sz w:val="14"/>
                  </w:rPr>
                </w:pPr>
                <w:r>
                  <w:rPr>
                    <w:sz w:val="14"/>
                  </w:rPr>
                  <w:t>TransUnion Confidential</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left"/>
      </w:pPr>
      <w:rPr>
        <w:rFonts w:hint="default" w:ascii="Arial" w:hAnsi="Arial" w:eastAsia="Arial" w:cs="Arial"/>
        <w:spacing w:val="-1"/>
        <w:w w:val="100"/>
        <w:sz w:val="15"/>
        <w:szCs w:val="15"/>
        <w:lang w:val="en-us" w:eastAsia="en-us" w:bidi="en-us"/>
      </w:rPr>
    </w:lvl>
    <w:lvl w:ilvl="1">
      <w:start w:val="0"/>
      <w:numFmt w:val="bullet"/>
      <w:lvlText w:val="•"/>
      <w:lvlJc w:val="left"/>
      <w:pPr>
        <w:ind w:left="151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628" w:hanging="360"/>
      </w:pPr>
      <w:rPr>
        <w:rFonts w:hint="default"/>
        <w:lang w:val="en-us" w:eastAsia="en-us" w:bidi="en-us"/>
      </w:rPr>
    </w:lvl>
    <w:lvl w:ilvl="4">
      <w:start w:val="0"/>
      <w:numFmt w:val="bullet"/>
      <w:lvlText w:val="•"/>
      <w:lvlJc w:val="left"/>
      <w:pPr>
        <w:ind w:left="4684" w:hanging="360"/>
      </w:pPr>
      <w:rPr>
        <w:rFonts w:hint="default"/>
        <w:lang w:val="en-us" w:eastAsia="en-us" w:bidi="en-us"/>
      </w:rPr>
    </w:lvl>
    <w:lvl w:ilvl="5">
      <w:start w:val="0"/>
      <w:numFmt w:val="bullet"/>
      <w:lvlText w:val="•"/>
      <w:lvlJc w:val="left"/>
      <w:pPr>
        <w:ind w:left="5740" w:hanging="360"/>
      </w:pPr>
      <w:rPr>
        <w:rFonts w:hint="default"/>
        <w:lang w:val="en-us" w:eastAsia="en-us" w:bidi="en-us"/>
      </w:rPr>
    </w:lvl>
    <w:lvl w:ilvl="6">
      <w:start w:val="0"/>
      <w:numFmt w:val="bullet"/>
      <w:lvlText w:val="•"/>
      <w:lvlJc w:val="left"/>
      <w:pPr>
        <w:ind w:left="6796" w:hanging="360"/>
      </w:pPr>
      <w:rPr>
        <w:rFonts w:hint="default"/>
        <w:lang w:val="en-us" w:eastAsia="en-us" w:bidi="en-us"/>
      </w:rPr>
    </w:lvl>
    <w:lvl w:ilvl="7">
      <w:start w:val="0"/>
      <w:numFmt w:val="bullet"/>
      <w:lvlText w:val="•"/>
      <w:lvlJc w:val="left"/>
      <w:pPr>
        <w:ind w:left="7852" w:hanging="360"/>
      </w:pPr>
      <w:rPr>
        <w:rFonts w:hint="default"/>
        <w:lang w:val="en-us" w:eastAsia="en-us" w:bidi="en-us"/>
      </w:rPr>
    </w:lvl>
    <w:lvl w:ilvl="8">
      <w:start w:val="0"/>
      <w:numFmt w:val="bullet"/>
      <w:lvlText w:val="•"/>
      <w:lvlJc w:val="left"/>
      <w:pPr>
        <w:ind w:left="890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5"/>
      <w:szCs w:val="15"/>
      <w:lang w:val="en-us" w:eastAsia="en-us" w:bidi="en-us"/>
    </w:rPr>
  </w:style>
  <w:style w:styleId="Heading1" w:type="paragraph">
    <w:name w:val="Heading 1"/>
    <w:basedOn w:val="Normal"/>
    <w:uiPriority w:val="1"/>
    <w:qFormat/>
    <w:pPr>
      <w:ind w:left="3574" w:right="3591"/>
      <w:jc w:val="center"/>
      <w:outlineLvl w:val="1"/>
    </w:pPr>
    <w:rPr>
      <w:rFonts w:ascii="Arial" w:hAnsi="Arial" w:eastAsia="Arial" w:cs="Arial"/>
      <w:b/>
      <w:bCs/>
      <w:sz w:val="15"/>
      <w:szCs w:val="15"/>
      <w:lang w:val="en-us" w:eastAsia="en-us" w:bidi="en-us"/>
    </w:rPr>
  </w:style>
  <w:style w:styleId="ListParagraph" w:type="paragraph">
    <w:name w:val="List Paragraph"/>
    <w:basedOn w:val="Normal"/>
    <w:uiPriority w:val="1"/>
    <w:qFormat/>
    <w:pPr>
      <w:ind w:left="460" w:hanging="360"/>
      <w:jc w:val="both"/>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 Union</dc:creator>
  <dc:title>First National Bank &amp; Trust</dc:title>
  <dcterms:created xsi:type="dcterms:W3CDTF">2020-06-26T20:05:40Z</dcterms:created>
  <dcterms:modified xsi:type="dcterms:W3CDTF">2020-06-26T20:05:40Z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2016</vt:lpwstr>
  </property>
  <property fmtid="{D5CDD505-2E9C-101B-9397-08002B2CF9AE}" pid="4" name="LastSaved">
    <vt:filetime>2020-06-26T00:00:00Z</vt:filetime>
  </property>
</Properties>
</file>